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88496" w14:textId="77777777" w:rsidR="00E60D17" w:rsidRDefault="00873AAC">
      <w:pPr>
        <w:tabs>
          <w:tab w:val="left" w:pos="3450"/>
        </w:tabs>
        <w:spacing w:after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5733095" w14:textId="7680CF5C" w:rsidR="00E60D17" w:rsidRDefault="00873AAC">
      <w:pPr>
        <w:tabs>
          <w:tab w:val="left" w:pos="3450"/>
        </w:tabs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Richtlinie zur Förderung des Austauschs von alten Kühlgeräten in </w:t>
      </w:r>
      <w:r w:rsidR="004249DB" w:rsidRPr="004249DB">
        <w:rPr>
          <w:rFonts w:ascii="Arial" w:hAnsi="Arial" w:cs="Arial"/>
          <w:sz w:val="28"/>
          <w:szCs w:val="28"/>
          <w:highlight w:val="yellow"/>
          <w:u w:val="single"/>
        </w:rPr>
        <w:t>Stadt/Gemeinde</w:t>
      </w:r>
      <w:r w:rsidR="004249DB" w:rsidRPr="004249DB"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  <w:highlight w:val="yellow"/>
          <w:u w:val="single"/>
        </w:rPr>
        <w:t>(…)</w:t>
      </w:r>
    </w:p>
    <w:p w14:paraId="7F1B7F8B" w14:textId="77777777" w:rsidR="00E60D17" w:rsidRDefault="00E60D17">
      <w:pPr>
        <w:tabs>
          <w:tab w:val="left" w:pos="3450"/>
        </w:tabs>
        <w:spacing w:after="0"/>
        <w:jc w:val="center"/>
        <w:rPr>
          <w:rFonts w:ascii="Arial" w:hAnsi="Arial" w:cs="Arial"/>
          <w:sz w:val="28"/>
          <w:szCs w:val="28"/>
          <w:u w:val="single"/>
        </w:rPr>
      </w:pPr>
    </w:p>
    <w:p w14:paraId="5CF8F945" w14:textId="77777777" w:rsidR="00E60D17" w:rsidRDefault="00873AAC">
      <w:pPr>
        <w:tabs>
          <w:tab w:val="left" w:pos="345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Präambel</w:t>
      </w:r>
    </w:p>
    <w:p w14:paraId="7A597E5A" w14:textId="7F200870" w:rsidR="00E60D17" w:rsidRDefault="00F40868">
      <w:pPr>
        <w:spacing w:after="0"/>
        <w:jc w:val="both"/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sz w:val="24"/>
        </w:rPr>
        <w:t>(…)</w:t>
      </w:r>
    </w:p>
    <w:p w14:paraId="565137A8" w14:textId="77777777" w:rsidR="00E60D17" w:rsidRDefault="00E60D17">
      <w:pPr>
        <w:spacing w:after="0"/>
        <w:jc w:val="both"/>
        <w:rPr>
          <w:rFonts w:ascii="Arial" w:hAnsi="Arial" w:cs="Arial"/>
          <w:sz w:val="32"/>
          <w:u w:val="single"/>
        </w:rPr>
      </w:pPr>
    </w:p>
    <w:p w14:paraId="04D116B4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Zuwendungszweck</w:t>
      </w:r>
    </w:p>
    <w:p w14:paraId="6460B5BB" w14:textId="77777777" w:rsidR="00E60D17" w:rsidRDefault="00873AA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Ziel der Zuwendung ist, durch den Austausch alter Kühlgeräte gegen energieeffiziente Geräte Energie einzusparen und damit in der </w:t>
      </w:r>
      <w:r>
        <w:rPr>
          <w:rFonts w:ascii="Arial" w:hAnsi="Arial" w:cs="Arial"/>
          <w:sz w:val="24"/>
          <w:highlight w:val="yellow"/>
        </w:rPr>
        <w:t>Stadt/Gemeinde (…)</w:t>
      </w:r>
      <w:r>
        <w:rPr>
          <w:rFonts w:ascii="Arial" w:hAnsi="Arial" w:cs="Arial"/>
          <w:sz w:val="24"/>
        </w:rPr>
        <w:t xml:space="preserve"> einen lokalen Beitrag zum Klimaschutz und zur Verringerung von Treibhausgasemissionen zu leisten. Dabei liegt der Schwerpunkt auf der Zielgruppe aller Bürger:Innen. </w:t>
      </w:r>
    </w:p>
    <w:p w14:paraId="6D28A591" w14:textId="77777777" w:rsidR="00E60D17" w:rsidRDefault="00E60D1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4"/>
        </w:rPr>
      </w:pPr>
    </w:p>
    <w:p w14:paraId="4B649553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Gegenstand der Förderung</w:t>
      </w:r>
    </w:p>
    <w:p w14:paraId="53DEDC2F" w14:textId="45541387" w:rsidR="00E60D17" w:rsidRDefault="00873AAC" w:rsidP="004249DB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Gefördert wird der Austausch von </w:t>
      </w:r>
      <w:r>
        <w:rPr>
          <w:rFonts w:ascii="Arial" w:hAnsi="Arial" w:cs="Arial"/>
          <w:sz w:val="24"/>
          <w:u w:val="single"/>
        </w:rPr>
        <w:t>mindestens 15 Jahre alten</w:t>
      </w:r>
      <w:r>
        <w:rPr>
          <w:rFonts w:ascii="Arial" w:hAnsi="Arial" w:cs="Arial"/>
          <w:sz w:val="24"/>
        </w:rPr>
        <w:t xml:space="preserve"> Kühlgeräten (Kühl-Gefrierkombi, Kühlschrank, Gefrierschrank, Gefriertruhe)</w:t>
      </w:r>
      <w:r w:rsidR="000360C8">
        <w:rPr>
          <w:rFonts w:ascii="Arial" w:hAnsi="Arial" w:cs="Arial"/>
          <w:sz w:val="24"/>
        </w:rPr>
        <w:t>, die ausschließlich privat genutzt werden,</w:t>
      </w:r>
      <w:r>
        <w:rPr>
          <w:rFonts w:ascii="Arial" w:hAnsi="Arial" w:cs="Arial"/>
          <w:sz w:val="24"/>
        </w:rPr>
        <w:t xml:space="preserve"> gegen Neugeräte mit </w:t>
      </w:r>
      <w:r>
        <w:rPr>
          <w:rFonts w:ascii="Arial" w:hAnsi="Arial" w:cs="Arial"/>
          <w:sz w:val="24"/>
          <w:u w:val="single"/>
        </w:rPr>
        <w:t>Energie-Effizienzlabel A, B oder C</w:t>
      </w:r>
      <w:r>
        <w:rPr>
          <w:rFonts w:ascii="Arial" w:hAnsi="Arial" w:cs="Arial"/>
          <w:sz w:val="24"/>
        </w:rPr>
        <w:t xml:space="preserve"> nach neuer Klassifizierung (</w:t>
      </w:r>
      <w:r w:rsidR="004327FA">
        <w:rPr>
          <w:rFonts w:ascii="Arial" w:hAnsi="Arial" w:cs="Arial"/>
          <w:sz w:val="24"/>
        </w:rPr>
        <w:t xml:space="preserve">seit </w:t>
      </w:r>
      <w:r>
        <w:rPr>
          <w:rFonts w:ascii="Arial" w:hAnsi="Arial" w:cs="Arial"/>
          <w:sz w:val="24"/>
        </w:rPr>
        <w:t xml:space="preserve">März 2021) im </w:t>
      </w:r>
      <w:r>
        <w:rPr>
          <w:rFonts w:ascii="Arial" w:hAnsi="Arial" w:cs="Arial"/>
          <w:sz w:val="24"/>
          <w:highlight w:val="yellow"/>
        </w:rPr>
        <w:t>Stadt-/Gemeindegebiet von (…)</w:t>
      </w:r>
      <w:r>
        <w:rPr>
          <w:rFonts w:ascii="Arial" w:hAnsi="Arial" w:cs="Arial"/>
          <w:color w:val="000000" w:themeColor="text1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Das Neugerät sollte im Nutzungsvolumen und in der Bauart vergleichbar mit dem alten Gerät sein. Die Förderung erfolgt in Form eines Zuschusses. </w:t>
      </w:r>
    </w:p>
    <w:p w14:paraId="27B1E5E5" w14:textId="77777777" w:rsidR="00E60D17" w:rsidRDefault="00E60D17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</w:p>
    <w:p w14:paraId="6ECD4E77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Antragsberechtigte </w:t>
      </w:r>
    </w:p>
    <w:p w14:paraId="554827FC" w14:textId="512F7183" w:rsidR="00E60D17" w:rsidRDefault="00ED6990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Antragsberechtigt sind</w:t>
      </w:r>
      <w:r w:rsidR="00BB265D">
        <w:rPr>
          <w:rFonts w:ascii="Arial" w:hAnsi="Arial" w:cs="Arial"/>
          <w:sz w:val="24"/>
        </w:rPr>
        <w:t xml:space="preserve"> natürliche</w:t>
      </w:r>
      <w:r w:rsidR="00873AAC">
        <w:rPr>
          <w:rFonts w:ascii="Arial" w:hAnsi="Arial" w:cs="Arial"/>
          <w:sz w:val="24"/>
        </w:rPr>
        <w:t xml:space="preserve"> Personen im </w:t>
      </w:r>
      <w:r w:rsidR="00873AAC">
        <w:rPr>
          <w:rFonts w:ascii="Arial" w:hAnsi="Arial" w:cs="Arial"/>
          <w:sz w:val="24"/>
          <w:highlight w:val="yellow"/>
        </w:rPr>
        <w:t>Stadt-/Gemeindegebiet von (…)</w:t>
      </w:r>
      <w:r w:rsidR="00873AAC">
        <w:rPr>
          <w:rFonts w:ascii="Arial" w:hAnsi="Arial" w:cs="Arial"/>
          <w:sz w:val="24"/>
        </w:rPr>
        <w:t>.</w:t>
      </w:r>
    </w:p>
    <w:p w14:paraId="4C32D905" w14:textId="77777777" w:rsidR="00E60D17" w:rsidRDefault="00E60D17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</w:p>
    <w:p w14:paraId="55BC72ED" w14:textId="77777777" w:rsidR="00E60D17" w:rsidRDefault="00873AAC" w:rsidP="00ED4C12">
      <w:pPr>
        <w:pStyle w:val="Listenabsatz"/>
        <w:numPr>
          <w:ilvl w:val="0"/>
          <w:numId w:val="1"/>
        </w:numPr>
        <w:tabs>
          <w:tab w:val="left" w:pos="3450"/>
        </w:tabs>
        <w:spacing w:after="240"/>
        <w:ind w:left="709" w:hanging="357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Förderungsvoraussetzungen/-bedingungen</w:t>
      </w:r>
    </w:p>
    <w:p w14:paraId="297F0A8D" w14:textId="77777777" w:rsidR="00E60D17" w:rsidRDefault="00873AAC">
      <w:pPr>
        <w:pStyle w:val="Listenabsatz"/>
        <w:numPr>
          <w:ilvl w:val="0"/>
          <w:numId w:val="9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Der Aufstellungsort des neuen Kühlgeräts befindet sich in der </w:t>
      </w:r>
      <w:r>
        <w:rPr>
          <w:rFonts w:ascii="Arial" w:hAnsi="Arial" w:cs="Arial"/>
          <w:color w:val="000000" w:themeColor="text1"/>
          <w:sz w:val="24"/>
          <w:highlight w:val="yellow"/>
        </w:rPr>
        <w:t>Gemeinde/Stadt (...)</w:t>
      </w:r>
      <w:r>
        <w:rPr>
          <w:rFonts w:ascii="Arial" w:hAnsi="Arial" w:cs="Arial"/>
          <w:color w:val="000000" w:themeColor="text1"/>
          <w:sz w:val="24"/>
        </w:rPr>
        <w:t>.</w:t>
      </w:r>
    </w:p>
    <w:p w14:paraId="528031E3" w14:textId="44F3156B" w:rsidR="00E60D17" w:rsidRPr="00F40868" w:rsidRDefault="00873AAC" w:rsidP="00906B4F">
      <w:pPr>
        <w:pStyle w:val="Listenabsatz"/>
        <w:numPr>
          <w:ilvl w:val="0"/>
          <w:numId w:val="9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 w:rsidRPr="00F40868">
        <w:rPr>
          <w:rFonts w:ascii="Arial" w:hAnsi="Arial" w:cs="Arial"/>
          <w:sz w:val="24"/>
        </w:rPr>
        <w:t xml:space="preserve">Gefördert werden nur Kühlgeräte mit einem Brutto-Kaufpreis von mindestens 300€ (Bagatellgrenze) pro Gerät. </w:t>
      </w:r>
    </w:p>
    <w:p w14:paraId="7B0899CD" w14:textId="1FFFE27B" w:rsidR="00E60D17" w:rsidRPr="00C16045" w:rsidRDefault="00873AAC" w:rsidP="00F56AE8">
      <w:pPr>
        <w:pStyle w:val="Listenabsatz"/>
        <w:numPr>
          <w:ilvl w:val="0"/>
          <w:numId w:val="9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 w:rsidRPr="00C16045">
        <w:rPr>
          <w:rFonts w:ascii="Arial" w:hAnsi="Arial" w:cs="Arial"/>
          <w:sz w:val="24"/>
        </w:rPr>
        <w:t xml:space="preserve">Jedes Kühlgerät </w:t>
      </w:r>
      <w:r w:rsidR="00C16045" w:rsidRPr="00C16045">
        <w:rPr>
          <w:rFonts w:ascii="Arial" w:hAnsi="Arial" w:cs="Arial"/>
          <w:sz w:val="24"/>
        </w:rPr>
        <w:t>wird nur einmalig gefördert</w:t>
      </w:r>
      <w:r w:rsidRPr="00C16045">
        <w:rPr>
          <w:rFonts w:ascii="Arial" w:hAnsi="Arial" w:cs="Arial"/>
          <w:sz w:val="24"/>
        </w:rPr>
        <w:t xml:space="preserve">. Je Haushalt/Wohneinheit wird im Rahmen der Projektlaufzeit </w:t>
      </w:r>
      <w:r w:rsidRPr="00C16045">
        <w:rPr>
          <w:rFonts w:ascii="Arial" w:hAnsi="Arial" w:cs="Arial"/>
          <w:sz w:val="24"/>
          <w:u w:val="single"/>
        </w:rPr>
        <w:t>ein</w:t>
      </w:r>
      <w:r w:rsidRPr="00C16045">
        <w:rPr>
          <w:rFonts w:ascii="Arial" w:hAnsi="Arial" w:cs="Arial"/>
          <w:sz w:val="24"/>
        </w:rPr>
        <w:t xml:space="preserve"> Geräte-Austausch</w:t>
      </w:r>
      <w:r w:rsidRPr="00C16045">
        <w:rPr>
          <w:rFonts w:ascii="Arial" w:hAnsi="Arial" w:cs="Arial"/>
          <w:color w:val="FF0000"/>
          <w:sz w:val="24"/>
        </w:rPr>
        <w:t xml:space="preserve"> </w:t>
      </w:r>
      <w:r w:rsidRPr="00C16045">
        <w:rPr>
          <w:rFonts w:ascii="Arial" w:hAnsi="Arial" w:cs="Arial"/>
          <w:sz w:val="24"/>
        </w:rPr>
        <w:t>gefördert.</w:t>
      </w:r>
    </w:p>
    <w:p w14:paraId="1401468F" w14:textId="77777777" w:rsidR="00E60D17" w:rsidRDefault="00873AAC">
      <w:pPr>
        <w:pStyle w:val="Listenabsatz"/>
        <w:numPr>
          <w:ilvl w:val="0"/>
          <w:numId w:val="9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Das Altgerät muss sachgerecht entsorgt werden.</w:t>
      </w:r>
    </w:p>
    <w:p w14:paraId="0FFCA3CF" w14:textId="7656715D" w:rsidR="00E60D17" w:rsidRPr="00B57804" w:rsidRDefault="00873AAC">
      <w:pPr>
        <w:pStyle w:val="Listenabsatz"/>
        <w:numPr>
          <w:ilvl w:val="0"/>
          <w:numId w:val="9"/>
        </w:numPr>
        <w:tabs>
          <w:tab w:val="left" w:pos="3450"/>
        </w:tabs>
        <w:spacing w:after="0"/>
        <w:ind w:left="357" w:hanging="357"/>
        <w:contextualSpacing w:val="0"/>
        <w:jc w:val="both"/>
        <w:rPr>
          <w:rFonts w:ascii="Arial" w:hAnsi="Arial" w:cs="Arial"/>
          <w:sz w:val="24"/>
        </w:rPr>
      </w:pPr>
      <w:r w:rsidRPr="00B57804">
        <w:rPr>
          <w:rFonts w:ascii="Arial" w:hAnsi="Arial" w:cs="Arial"/>
          <w:sz w:val="24"/>
        </w:rPr>
        <w:t>Jeweils ein Foto des neuen und alten Geräts, die im Rahmen von Klimafit</w:t>
      </w:r>
      <w:r w:rsidR="00C16045">
        <w:rPr>
          <w:rFonts w:ascii="Arial" w:hAnsi="Arial" w:cs="Arial"/>
          <w:sz w:val="24"/>
        </w:rPr>
        <w:t xml:space="preserve"> </w:t>
      </w:r>
      <w:r w:rsidRPr="00B57804">
        <w:rPr>
          <w:rFonts w:ascii="Arial" w:hAnsi="Arial" w:cs="Arial"/>
          <w:sz w:val="24"/>
        </w:rPr>
        <w:t xml:space="preserve">Ruhr als umgesetztes Beispiel auf der Internetseite sowie dem Facebook Auftritt des Projektes und der </w:t>
      </w:r>
      <w:r w:rsidRPr="00B57804">
        <w:rPr>
          <w:rFonts w:ascii="Arial" w:hAnsi="Arial" w:cs="Arial"/>
          <w:sz w:val="24"/>
          <w:highlight w:val="yellow"/>
        </w:rPr>
        <w:t>Stadt/Gemeinde (...)</w:t>
      </w:r>
      <w:r w:rsidRPr="00B57804">
        <w:rPr>
          <w:rFonts w:ascii="Arial" w:hAnsi="Arial" w:cs="Arial"/>
          <w:sz w:val="24"/>
        </w:rPr>
        <w:t xml:space="preserve"> veröffentlicht werden. </w:t>
      </w:r>
    </w:p>
    <w:p w14:paraId="6A24F717" w14:textId="77777777" w:rsidR="00E60D17" w:rsidRDefault="00873AAC">
      <w:pPr>
        <w:spacing w:after="60"/>
        <w:rPr>
          <w:rFonts w:ascii="Arial" w:hAnsi="Arial" w:cs="Arial"/>
          <w:sz w:val="24"/>
        </w:rPr>
      </w:pPr>
      <w:r>
        <w:rPr>
          <w:rStyle w:val="Hyperlink"/>
          <w:rFonts w:ascii="Arial" w:hAnsi="Arial" w:cs="Arial"/>
          <w:sz w:val="24"/>
        </w:rPr>
        <w:t xml:space="preserve"> </w:t>
      </w:r>
      <w:r>
        <w:rPr>
          <w:rStyle w:val="Hyperlink"/>
        </w:rPr>
        <w:t xml:space="preserve"> </w:t>
      </w:r>
      <w:r>
        <w:rPr>
          <w:rFonts w:ascii="Arial" w:hAnsi="Arial" w:cs="Arial"/>
          <w:sz w:val="24"/>
        </w:rPr>
        <w:t xml:space="preserve"> </w:t>
      </w:r>
    </w:p>
    <w:p w14:paraId="272824B8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Förderungsausschlüsse</w:t>
      </w:r>
    </w:p>
    <w:p w14:paraId="4A1567E2" w14:textId="77777777" w:rsidR="00E60D17" w:rsidRDefault="00873AAC">
      <w:pPr>
        <w:tabs>
          <w:tab w:val="left" w:pos="3450"/>
        </w:tabs>
        <w:spacing w:after="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Nicht förderungsfähig sind:</w:t>
      </w:r>
    </w:p>
    <w:p w14:paraId="323F160E" w14:textId="7B9CD7A6" w:rsidR="00E60D17" w:rsidRDefault="00873AAC">
      <w:pPr>
        <w:pStyle w:val="Listenabsatz"/>
        <w:numPr>
          <w:ilvl w:val="0"/>
          <w:numId w:val="2"/>
        </w:numPr>
        <w:tabs>
          <w:tab w:val="left" w:pos="3450"/>
        </w:tabs>
        <w:ind w:left="3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Geräte, welche vor dem Erhalt des Bewilligungsbescheids angeschafft wurden,</w:t>
      </w:r>
    </w:p>
    <w:p w14:paraId="4B09E9F9" w14:textId="4CB0F1C1" w:rsidR="00B46D15" w:rsidRDefault="00B46D15">
      <w:pPr>
        <w:pStyle w:val="Listenabsatz"/>
        <w:numPr>
          <w:ilvl w:val="0"/>
          <w:numId w:val="2"/>
        </w:numPr>
        <w:tabs>
          <w:tab w:val="left" w:pos="3450"/>
        </w:tabs>
        <w:ind w:left="3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Geräte, die nicht ausschließlich privat genutzt werden,</w:t>
      </w:r>
    </w:p>
    <w:p w14:paraId="393DDF78" w14:textId="7397C14C" w:rsidR="00E60D17" w:rsidRDefault="00873AAC">
      <w:pPr>
        <w:pStyle w:val="Listenabsatz"/>
        <w:numPr>
          <w:ilvl w:val="0"/>
          <w:numId w:val="2"/>
        </w:numPr>
        <w:tabs>
          <w:tab w:val="left" w:pos="3450"/>
        </w:tabs>
        <w:ind w:left="340" w:hanging="35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Anträge, die nach dem </w:t>
      </w:r>
      <w:r w:rsidR="0035590C">
        <w:rPr>
          <w:rFonts w:ascii="Arial" w:hAnsi="Arial" w:cs="Arial"/>
          <w:sz w:val="24"/>
        </w:rPr>
        <w:t>31.12</w:t>
      </w:r>
      <w:r w:rsidR="005713EE">
        <w:rPr>
          <w:rFonts w:ascii="Arial" w:hAnsi="Arial" w:cs="Arial"/>
          <w:sz w:val="24"/>
        </w:rPr>
        <w:t>.2025</w:t>
      </w:r>
      <w:r>
        <w:rPr>
          <w:rFonts w:ascii="Arial" w:hAnsi="Arial" w:cs="Arial"/>
          <w:color w:val="FF0000"/>
          <w:sz w:val="24"/>
        </w:rPr>
        <w:t xml:space="preserve"> </w:t>
      </w:r>
      <w:r>
        <w:rPr>
          <w:rFonts w:ascii="Arial" w:hAnsi="Arial" w:cs="Arial"/>
          <w:sz w:val="24"/>
        </w:rPr>
        <w:t>eingereicht werden,</w:t>
      </w:r>
    </w:p>
    <w:p w14:paraId="15B2C3E8" w14:textId="24EFC0C5" w:rsidR="00E60D17" w:rsidRDefault="00ED4C12">
      <w:pPr>
        <w:pStyle w:val="Listenabsatz"/>
        <w:numPr>
          <w:ilvl w:val="0"/>
          <w:numId w:val="2"/>
        </w:numPr>
        <w:tabs>
          <w:tab w:val="left" w:pos="3450"/>
        </w:tabs>
        <w:spacing w:after="0"/>
        <w:ind w:left="340" w:hanging="357"/>
        <w:contextualSpacing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Anträge von Mitarbeiter:</w:t>
      </w:r>
      <w:r w:rsidR="00873AAC">
        <w:rPr>
          <w:rFonts w:ascii="Arial" w:hAnsi="Arial" w:cs="Arial"/>
          <w:sz w:val="24"/>
        </w:rPr>
        <w:t>Innen aller Projektpartner, die als Ansprechpartner</w:t>
      </w:r>
      <w:r w:rsidR="00C16045">
        <w:rPr>
          <w:rFonts w:ascii="Arial" w:hAnsi="Arial" w:cs="Arial"/>
          <w:sz w:val="24"/>
        </w:rPr>
        <w:t>:In</w:t>
      </w:r>
      <w:r w:rsidR="00873AAC">
        <w:rPr>
          <w:rFonts w:ascii="Arial" w:hAnsi="Arial" w:cs="Arial"/>
          <w:sz w:val="24"/>
        </w:rPr>
        <w:t xml:space="preserve"> im Projekt Klim</w:t>
      </w:r>
      <w:r w:rsidR="00634D47">
        <w:rPr>
          <w:rFonts w:ascii="Arial" w:hAnsi="Arial" w:cs="Arial"/>
          <w:sz w:val="24"/>
        </w:rPr>
        <w:t>afit</w:t>
      </w:r>
      <w:r w:rsidR="00C16045">
        <w:rPr>
          <w:rFonts w:ascii="Arial" w:hAnsi="Arial" w:cs="Arial"/>
          <w:sz w:val="24"/>
        </w:rPr>
        <w:t xml:space="preserve"> Ruhr eingebunden sind sowie</w:t>
      </w:r>
      <w:r w:rsidR="00873AAC">
        <w:rPr>
          <w:rFonts w:ascii="Arial" w:hAnsi="Arial" w:cs="Arial"/>
          <w:sz w:val="24"/>
        </w:rPr>
        <w:t xml:space="preserve"> deren </w:t>
      </w:r>
      <w:r w:rsidR="003201C8">
        <w:rPr>
          <w:rFonts w:ascii="Arial" w:hAnsi="Arial" w:cs="Arial"/>
          <w:sz w:val="24"/>
        </w:rPr>
        <w:t>Haushaltsangehörige</w:t>
      </w:r>
      <w:r w:rsidR="00873AAC">
        <w:rPr>
          <w:rFonts w:ascii="Arial" w:hAnsi="Arial" w:cs="Arial"/>
          <w:sz w:val="24"/>
        </w:rPr>
        <w:t>.</w:t>
      </w:r>
    </w:p>
    <w:p w14:paraId="06124F6F" w14:textId="77777777" w:rsidR="00E60D17" w:rsidRDefault="00E60D17">
      <w:pPr>
        <w:tabs>
          <w:tab w:val="left" w:pos="3450"/>
        </w:tabs>
        <w:spacing w:after="60"/>
        <w:rPr>
          <w:rFonts w:ascii="Arial" w:hAnsi="Arial" w:cs="Arial"/>
          <w:sz w:val="24"/>
        </w:rPr>
      </w:pPr>
    </w:p>
    <w:p w14:paraId="077E18FD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Art, Umfang und Höhe der Zuwendung</w:t>
      </w:r>
    </w:p>
    <w:p w14:paraId="0B915637" w14:textId="77777777" w:rsidR="00E60D17" w:rsidRDefault="00873AAC">
      <w:pPr>
        <w:tabs>
          <w:tab w:val="left" w:pos="3450"/>
        </w:tabs>
        <w:spacing w:after="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Der Zuschuss beträgt </w:t>
      </w:r>
      <w:r>
        <w:rPr>
          <w:rFonts w:ascii="Arial" w:hAnsi="Arial" w:cs="Arial"/>
          <w:sz w:val="24"/>
          <w:highlight w:val="yellow"/>
        </w:rPr>
        <w:t>100,00</w:t>
      </w:r>
      <w:r>
        <w:rPr>
          <w:rFonts w:ascii="Arial" w:hAnsi="Arial" w:cs="Arial"/>
          <w:sz w:val="24"/>
        </w:rPr>
        <w:t xml:space="preserve"> Euro je Gerät. </w:t>
      </w:r>
    </w:p>
    <w:p w14:paraId="61A52736" w14:textId="254BD56D" w:rsidR="00E60D17" w:rsidRDefault="00873AAC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 Förderung ist mit anderen Förderungen kombinierbar, sofern diese das zulassen. Es muss ein Eigenanteil von mindestens 50 % der Ansch</w:t>
      </w:r>
      <w:r w:rsidR="00C16045">
        <w:rPr>
          <w:rFonts w:ascii="Arial" w:hAnsi="Arial" w:cs="Arial"/>
          <w:sz w:val="24"/>
        </w:rPr>
        <w:t>affungskosten beim Antragstellenden</w:t>
      </w:r>
      <w:r>
        <w:rPr>
          <w:rFonts w:ascii="Arial" w:hAnsi="Arial" w:cs="Arial"/>
          <w:sz w:val="24"/>
        </w:rPr>
        <w:t xml:space="preserve"> verbleiben.</w:t>
      </w:r>
    </w:p>
    <w:p w14:paraId="17DE3B68" w14:textId="77777777" w:rsidR="00E60D17" w:rsidRDefault="00E60D17">
      <w:pPr>
        <w:tabs>
          <w:tab w:val="left" w:pos="3450"/>
        </w:tabs>
        <w:spacing w:after="60"/>
        <w:rPr>
          <w:rFonts w:ascii="Arial" w:hAnsi="Arial" w:cs="Arial"/>
          <w:sz w:val="24"/>
        </w:rPr>
      </w:pPr>
    </w:p>
    <w:p w14:paraId="4399B0C4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Antrags- und Bewilligungsverfahren</w:t>
      </w:r>
    </w:p>
    <w:p w14:paraId="7A1F1A94" w14:textId="77777777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Der Förderantrag ist </w:t>
      </w:r>
      <w:r>
        <w:rPr>
          <w:rFonts w:ascii="Arial" w:hAnsi="Arial" w:cs="Arial"/>
          <w:color w:val="000000" w:themeColor="text1"/>
          <w:sz w:val="24"/>
          <w:u w:val="single"/>
        </w:rPr>
        <w:t>vor</w:t>
      </w:r>
      <w:r>
        <w:rPr>
          <w:rFonts w:ascii="Arial" w:hAnsi="Arial" w:cs="Arial"/>
          <w:color w:val="000000" w:themeColor="text1"/>
          <w:sz w:val="24"/>
        </w:rPr>
        <w:t xml:space="preserve"> dem Kauf des neuen Kühlgeräts zu stellen. Der Kauf des neuen Geräts erfolgt </w:t>
      </w:r>
      <w:r>
        <w:rPr>
          <w:rFonts w:ascii="Arial" w:hAnsi="Arial" w:cs="Arial"/>
          <w:color w:val="000000" w:themeColor="text1"/>
          <w:sz w:val="24"/>
          <w:u w:val="single"/>
        </w:rPr>
        <w:t>nach</w:t>
      </w:r>
      <w:r>
        <w:rPr>
          <w:rFonts w:ascii="Arial" w:hAnsi="Arial" w:cs="Arial"/>
          <w:color w:val="000000" w:themeColor="text1"/>
          <w:sz w:val="24"/>
        </w:rPr>
        <w:t xml:space="preserve"> dem Zugang des Bewilligungsschreibens. </w:t>
      </w:r>
    </w:p>
    <w:p w14:paraId="164B95A1" w14:textId="13DFBB0B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</w:rPr>
        <w:t xml:space="preserve">Der Förderantrag ist von den Antragsberechtigten </w:t>
      </w:r>
      <w:r w:rsidR="004A7B90">
        <w:rPr>
          <w:rFonts w:ascii="Arial" w:hAnsi="Arial" w:cs="Arial"/>
          <w:sz w:val="24"/>
          <w:highlight w:val="yellow"/>
        </w:rPr>
        <w:t>schriftlich oder via E-Mail oder über das kommunale Serviceprotal</w:t>
      </w:r>
      <w:r>
        <w:rPr>
          <w:rFonts w:ascii="Arial" w:hAnsi="Arial" w:cs="Arial"/>
          <w:sz w:val="24"/>
        </w:rPr>
        <w:t xml:space="preserve"> bei</w:t>
      </w:r>
      <w:r w:rsidR="00A230F7">
        <w:rPr>
          <w:rFonts w:ascii="Arial" w:hAnsi="Arial" w:cs="Arial"/>
          <w:sz w:val="24"/>
        </w:rPr>
        <w:t xml:space="preserve"> </w:t>
      </w:r>
      <w:r w:rsidR="00A230F7" w:rsidRPr="00A230F7">
        <w:rPr>
          <w:rFonts w:ascii="Arial" w:hAnsi="Arial" w:cs="Arial"/>
          <w:sz w:val="24"/>
          <w:highlight w:val="yellow"/>
        </w:rPr>
        <w:t>Stadt/Gemeinde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highlight w:val="yellow"/>
        </w:rPr>
        <w:t>(…)</w:t>
      </w:r>
      <w:r w:rsidR="00A230F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unter Verwendung des vorgeschriebenen Antragsvordruckes zu stellen. Vordrucke für Förderanträge sind erhältlich bei </w:t>
      </w:r>
      <w:r>
        <w:rPr>
          <w:rFonts w:ascii="Arial" w:hAnsi="Arial" w:cs="Arial"/>
          <w:sz w:val="24"/>
          <w:highlight w:val="yellow"/>
        </w:rPr>
        <w:t>(…)</w:t>
      </w:r>
      <w:r>
        <w:rPr>
          <w:rFonts w:ascii="Arial" w:hAnsi="Arial" w:cs="Arial"/>
          <w:sz w:val="24"/>
        </w:rPr>
        <w:t>.</w:t>
      </w:r>
    </w:p>
    <w:p w14:paraId="6CB810AF" w14:textId="77777777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highlight w:val="yellow"/>
        </w:rPr>
        <w:t>(…)</w:t>
      </w:r>
      <w:r>
        <w:rPr>
          <w:rFonts w:ascii="Arial" w:hAnsi="Arial" w:cs="Arial"/>
          <w:sz w:val="24"/>
        </w:rPr>
        <w:t xml:space="preserve"> entscheidet über die vorliegenden Anträge in der Reihenfolge des Antragseinganges im Rahmen der zur Verfügung stehenden finanziellen Mittel nach pflichtgemäßem Ermessen unter Anwendung dieser Richtlinie. </w:t>
      </w:r>
    </w:p>
    <w:p w14:paraId="6C65098D" w14:textId="77777777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Ein Rechtsanspruch auf die Gewährung eines Zuschusses besteht nicht.</w:t>
      </w:r>
    </w:p>
    <w:p w14:paraId="0CF05235" w14:textId="4CCAD740" w:rsidR="00B57804" w:rsidRDefault="00873AAC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Über den Antrag wird durch schriftlichen Bescheid entschieden. </w:t>
      </w:r>
      <w:r>
        <w:rPr>
          <w:rFonts w:ascii="Arial" w:hAnsi="Arial" w:cs="Arial"/>
          <w:sz w:val="24"/>
        </w:rPr>
        <w:t xml:space="preserve">Dieser kann mit Bedingungen und Auflagen versehen werden. </w:t>
      </w:r>
      <w:r w:rsidR="00B57804">
        <w:rPr>
          <w:rFonts w:ascii="Arial" w:hAnsi="Arial" w:cs="Arial"/>
          <w:sz w:val="24"/>
        </w:rPr>
        <w:t xml:space="preserve">Für die Bewilligung muss der Antrag vollständig eingereicht werden. Die Bewilligung erfolgt unter Vorbehalt der Durchführung </w:t>
      </w:r>
    </w:p>
    <w:p w14:paraId="76217106" w14:textId="3C899013" w:rsidR="00C16045" w:rsidRDefault="00B57804" w:rsidP="00B57804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der dem Antrag zugrunde liegenden Maßnahme und Einreichen der Kosten-/Leistungsnachweise.</w:t>
      </w:r>
    </w:p>
    <w:p w14:paraId="06B86A3E" w14:textId="77777777" w:rsidR="00CB50A2" w:rsidRDefault="00CB50A2">
      <w:pPr>
        <w:tabs>
          <w:tab w:val="left" w:pos="3450"/>
        </w:tabs>
        <w:spacing w:after="60"/>
        <w:rPr>
          <w:rFonts w:ascii="Arial" w:hAnsi="Arial" w:cs="Arial"/>
          <w:sz w:val="24"/>
        </w:rPr>
      </w:pPr>
    </w:p>
    <w:p w14:paraId="3CECD3D3" w14:textId="4D6220B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Leistungsnachweise</w:t>
      </w:r>
      <w:r w:rsidR="00CB50A2">
        <w:rPr>
          <w:rFonts w:ascii="Arial" w:hAnsi="Arial" w:cs="Arial"/>
          <w:b/>
          <w:sz w:val="24"/>
        </w:rPr>
        <w:t xml:space="preserve"> und Fristen</w:t>
      </w:r>
    </w:p>
    <w:p w14:paraId="2EB8F77B" w14:textId="5BD5C50D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Als Leistungsnachweise müssen folgende Unterlagen als Foto oder Kopie (gut lesbar!) </w:t>
      </w:r>
      <w:r w:rsidR="00CB50A2">
        <w:rPr>
          <w:rFonts w:ascii="Arial" w:hAnsi="Arial" w:cs="Arial"/>
          <w:b/>
          <w:sz w:val="24"/>
        </w:rPr>
        <w:t>spätestens sechs</w:t>
      </w:r>
      <w:r>
        <w:rPr>
          <w:rFonts w:ascii="Arial" w:hAnsi="Arial" w:cs="Arial"/>
          <w:b/>
          <w:sz w:val="24"/>
        </w:rPr>
        <w:t xml:space="preserve"> Monate</w:t>
      </w:r>
      <w:r>
        <w:rPr>
          <w:rFonts w:ascii="Arial" w:hAnsi="Arial" w:cs="Arial"/>
          <w:sz w:val="24"/>
        </w:rPr>
        <w:t xml:space="preserve"> nach der Bewilligung bei </w:t>
      </w:r>
      <w:r>
        <w:rPr>
          <w:rFonts w:ascii="Arial" w:hAnsi="Arial" w:cs="Arial"/>
          <w:sz w:val="24"/>
          <w:highlight w:val="yellow"/>
        </w:rPr>
        <w:t>(…)</w:t>
      </w:r>
      <w:r>
        <w:rPr>
          <w:rFonts w:ascii="Arial" w:hAnsi="Arial" w:cs="Arial"/>
          <w:sz w:val="24"/>
        </w:rPr>
        <w:t xml:space="preserve"> eingereicht werden: </w:t>
      </w:r>
    </w:p>
    <w:p w14:paraId="08FAFDAF" w14:textId="77777777" w:rsidR="00E60D17" w:rsidRDefault="00873AAC">
      <w:pPr>
        <w:pStyle w:val="Listenabsatz"/>
        <w:numPr>
          <w:ilvl w:val="0"/>
          <w:numId w:val="8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Rechnung </w:t>
      </w:r>
      <w:r>
        <w:rPr>
          <w:rFonts w:ascii="Arial" w:hAnsi="Arial" w:cs="Arial"/>
          <w:sz w:val="24"/>
          <w:u w:val="single"/>
        </w:rPr>
        <w:t>oder</w:t>
      </w:r>
      <w:r>
        <w:rPr>
          <w:rFonts w:ascii="Arial" w:hAnsi="Arial" w:cs="Arial"/>
          <w:sz w:val="24"/>
        </w:rPr>
        <w:t xml:space="preserve"> Foto des Typenschilds </w:t>
      </w:r>
      <w:r>
        <w:rPr>
          <w:rFonts w:ascii="Arial" w:hAnsi="Arial" w:cs="Arial"/>
          <w:i/>
          <w:sz w:val="24"/>
        </w:rPr>
        <w:t>(s. u. Anhang)</w:t>
      </w:r>
      <w:r>
        <w:rPr>
          <w:rFonts w:ascii="Arial" w:hAnsi="Arial" w:cs="Arial"/>
          <w:sz w:val="24"/>
        </w:rPr>
        <w:t xml:space="preserve"> als Altersnachweis für das </w:t>
      </w:r>
      <w:r>
        <w:rPr>
          <w:rFonts w:ascii="Arial" w:hAnsi="Arial" w:cs="Arial"/>
          <w:b/>
          <w:sz w:val="24"/>
        </w:rPr>
        <w:t>alte</w:t>
      </w:r>
      <w:r>
        <w:rPr>
          <w:rFonts w:ascii="Arial" w:hAnsi="Arial" w:cs="Arial"/>
          <w:sz w:val="24"/>
        </w:rPr>
        <w:t xml:space="preserve"> Gerät,</w:t>
      </w:r>
    </w:p>
    <w:p w14:paraId="1FE2C771" w14:textId="41E96BEF" w:rsidR="00E60D17" w:rsidRDefault="00873AAC">
      <w:pPr>
        <w:pStyle w:val="Listenabsatz"/>
        <w:numPr>
          <w:ilvl w:val="0"/>
          <w:numId w:val="8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Rechnung über das </w:t>
      </w:r>
      <w:r>
        <w:rPr>
          <w:rFonts w:ascii="Arial" w:hAnsi="Arial" w:cs="Arial"/>
          <w:b/>
          <w:sz w:val="24"/>
        </w:rPr>
        <w:t>neu</w:t>
      </w:r>
      <w:r>
        <w:rPr>
          <w:rFonts w:ascii="Arial" w:hAnsi="Arial" w:cs="Arial"/>
          <w:sz w:val="24"/>
        </w:rPr>
        <w:t xml:space="preserve"> angeschaffte Gerät inklusive Nachweis des Energielabels (Rechnung oder</w:t>
      </w:r>
      <w:r w:rsidR="00F2079C">
        <w:rPr>
          <w:rFonts w:ascii="Arial" w:hAnsi="Arial" w:cs="Arial"/>
          <w:sz w:val="24"/>
        </w:rPr>
        <w:t xml:space="preserve"> Foto des</w:t>
      </w:r>
      <w:r>
        <w:rPr>
          <w:rFonts w:ascii="Arial" w:hAnsi="Arial" w:cs="Arial"/>
          <w:sz w:val="24"/>
        </w:rPr>
        <w:t xml:space="preserve"> Typenschild</w:t>
      </w:r>
      <w:r w:rsidR="00F2079C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 xml:space="preserve">), </w:t>
      </w:r>
    </w:p>
    <w:p w14:paraId="5A09FB9D" w14:textId="77777777" w:rsidR="00E60D17" w:rsidRDefault="00873AAC">
      <w:pPr>
        <w:pStyle w:val="Listenabsatz"/>
        <w:numPr>
          <w:ilvl w:val="0"/>
          <w:numId w:val="8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Nachweis über die sachgerechte Entsorgung des Altgeräts (unterzeichnetes Formular "Entsorgungsnachweis" </w:t>
      </w:r>
      <w:r>
        <w:rPr>
          <w:rFonts w:ascii="Arial" w:hAnsi="Arial" w:cs="Arial"/>
          <w:sz w:val="24"/>
          <w:u w:val="single"/>
        </w:rPr>
        <w:t>oder</w:t>
      </w:r>
      <w:r>
        <w:rPr>
          <w:rFonts w:ascii="Arial" w:hAnsi="Arial" w:cs="Arial"/>
          <w:sz w:val="24"/>
        </w:rPr>
        <w:t xml:space="preserve"> durch explizite Angabe auf der Rechnung des Neugeräts),</w:t>
      </w:r>
    </w:p>
    <w:p w14:paraId="4C068D67" w14:textId="7C391D92" w:rsidR="00E60D17" w:rsidRDefault="00873AAC">
      <w:pPr>
        <w:pStyle w:val="Listenabsatz"/>
        <w:numPr>
          <w:ilvl w:val="0"/>
          <w:numId w:val="8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jeweils ein Foto des neuen und</w:t>
      </w:r>
      <w:r w:rsidR="00ED4C12">
        <w:rPr>
          <w:rFonts w:ascii="Arial" w:hAnsi="Arial" w:cs="Arial"/>
          <w:sz w:val="24"/>
        </w:rPr>
        <w:t xml:space="preserve"> des</w:t>
      </w:r>
      <w:r>
        <w:rPr>
          <w:rFonts w:ascii="Arial" w:hAnsi="Arial" w:cs="Arial"/>
          <w:sz w:val="24"/>
        </w:rPr>
        <w:t xml:space="preserve"> alten Geräts.</w:t>
      </w:r>
    </w:p>
    <w:p w14:paraId="4A3694BB" w14:textId="77777777" w:rsidR="00F40868" w:rsidRDefault="00F40868" w:rsidP="00F40868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</w:p>
    <w:p w14:paraId="4B38707F" w14:textId="77777777" w:rsidR="00F40868" w:rsidRDefault="00F40868" w:rsidP="00F40868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</w:p>
    <w:p w14:paraId="7E7FCF35" w14:textId="77777777" w:rsidR="00F40868" w:rsidRPr="00F40868" w:rsidRDefault="00F40868" w:rsidP="00F40868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</w:p>
    <w:p w14:paraId="60403D5B" w14:textId="77777777" w:rsidR="00E60D17" w:rsidRDefault="00E60D17">
      <w:pPr>
        <w:pStyle w:val="Listenabsatz"/>
        <w:tabs>
          <w:tab w:val="left" w:pos="3450"/>
        </w:tabs>
        <w:spacing w:after="0"/>
        <w:rPr>
          <w:rFonts w:ascii="Arial" w:hAnsi="Arial" w:cs="Arial"/>
          <w:sz w:val="24"/>
        </w:rPr>
      </w:pPr>
    </w:p>
    <w:p w14:paraId="1B7EB449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 Auszahlung</w:t>
      </w:r>
    </w:p>
    <w:p w14:paraId="66D72165" w14:textId="3517AB77" w:rsidR="00E60D17" w:rsidRDefault="00873AAC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 Auszahlung der Zuwendung erfolgt nach Prüfung der gemäß dieser Richtlinie unter „8. Leistungsnachweise</w:t>
      </w:r>
      <w:r w:rsidR="00B57804">
        <w:rPr>
          <w:rFonts w:ascii="Arial" w:hAnsi="Arial" w:cs="Arial"/>
          <w:sz w:val="24"/>
        </w:rPr>
        <w:t xml:space="preserve"> und Fristen</w:t>
      </w:r>
      <w:r>
        <w:rPr>
          <w:rFonts w:ascii="Arial" w:hAnsi="Arial" w:cs="Arial"/>
          <w:sz w:val="24"/>
        </w:rPr>
        <w:t xml:space="preserve">“ vorzulegenden Unterlagen auf der Grundlage des Bewilligungsbescheides durch </w:t>
      </w:r>
      <w:r>
        <w:rPr>
          <w:rFonts w:ascii="Arial" w:hAnsi="Arial" w:cs="Arial"/>
          <w:sz w:val="24"/>
          <w:highlight w:val="yellow"/>
        </w:rPr>
        <w:t>(…).</w:t>
      </w:r>
    </w:p>
    <w:p w14:paraId="66290777" w14:textId="77777777" w:rsidR="00E60D17" w:rsidRDefault="00E60D17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</w:p>
    <w:p w14:paraId="4F105006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Rückforderung von Zuschüssen</w:t>
      </w:r>
    </w:p>
    <w:p w14:paraId="3FDAD052" w14:textId="77777777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trike/>
          <w:color w:val="FF0000"/>
          <w:sz w:val="24"/>
        </w:rPr>
      </w:pPr>
      <w:r>
        <w:rPr>
          <w:rFonts w:ascii="Arial" w:hAnsi="Arial" w:cs="Arial"/>
          <w:sz w:val="24"/>
          <w:highlight w:val="yellow"/>
        </w:rPr>
        <w:t>(…)</w:t>
      </w:r>
      <w:r>
        <w:rPr>
          <w:rFonts w:ascii="Arial" w:hAnsi="Arial" w:cs="Arial"/>
          <w:sz w:val="24"/>
        </w:rPr>
        <w:t xml:space="preserve"> behält sich vor, Zuschüsse nebst Zinsen zurückzufordern, wenn diese nicht dem Zuwendungszweck entsprechend verwendet wurden. </w:t>
      </w:r>
    </w:p>
    <w:p w14:paraId="4876A0F9" w14:textId="77777777" w:rsidR="00E60D17" w:rsidRDefault="00E60D17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</w:p>
    <w:p w14:paraId="0A0A395E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Inkrafttreten</w:t>
      </w:r>
    </w:p>
    <w:p w14:paraId="5565CE9D" w14:textId="2729C418" w:rsidR="0035590C" w:rsidRDefault="00873AAC" w:rsidP="008207AE">
      <w:pPr>
        <w:tabs>
          <w:tab w:val="left" w:pos="3450"/>
        </w:tabs>
        <w:spacing w:after="1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Die Richtlinie tritt am </w:t>
      </w:r>
      <w:r>
        <w:rPr>
          <w:rFonts w:ascii="Arial" w:hAnsi="Arial" w:cs="Arial"/>
          <w:sz w:val="24"/>
          <w:highlight w:val="yellow"/>
        </w:rPr>
        <w:t>xx.xx.xxxx</w:t>
      </w:r>
      <w:r>
        <w:rPr>
          <w:rFonts w:ascii="Arial" w:hAnsi="Arial" w:cs="Arial"/>
          <w:sz w:val="24"/>
        </w:rPr>
        <w:t xml:space="preserve"> in Kraft.</w:t>
      </w:r>
    </w:p>
    <w:p w14:paraId="1E85EEED" w14:textId="7C037ED6" w:rsidR="008207AE" w:rsidRPr="0040066D" w:rsidRDefault="008207AE" w:rsidP="008207AE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  <w:szCs w:val="24"/>
        </w:rPr>
      </w:pPr>
      <w:r w:rsidRPr="0040066D">
        <w:rPr>
          <w:rFonts w:ascii="Arial" w:hAnsi="Arial" w:cs="Arial"/>
          <w:sz w:val="24"/>
          <w:szCs w:val="24"/>
        </w:rPr>
        <w:t>Die Förderrichtli</w:t>
      </w:r>
      <w:r w:rsidR="004327FA">
        <w:rPr>
          <w:rFonts w:ascii="Arial" w:hAnsi="Arial" w:cs="Arial"/>
          <w:sz w:val="24"/>
          <w:szCs w:val="24"/>
        </w:rPr>
        <w:t>nie gilt zunächst bis 31.12.2024</w:t>
      </w:r>
      <w:r w:rsidRPr="0040066D">
        <w:rPr>
          <w:rFonts w:ascii="Arial" w:hAnsi="Arial" w:cs="Arial"/>
          <w:sz w:val="24"/>
          <w:szCs w:val="24"/>
        </w:rPr>
        <w:t xml:space="preserve">. Sofern das Förderprogramm in den Folgejahren weitergeführt wird, gilt diese Richtlinie weiter. Ansonsten endet ihre Gültigkeit mit vollständiger Ausschöpfung der Fördermittel oder zum vorgenannten Datum. </w:t>
      </w:r>
    </w:p>
    <w:p w14:paraId="0F43FFD8" w14:textId="23EB4162" w:rsidR="008207AE" w:rsidRPr="0040066D" w:rsidRDefault="008207AE" w:rsidP="008207AE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  <w:szCs w:val="24"/>
        </w:rPr>
      </w:pPr>
      <w:r w:rsidRPr="0040066D">
        <w:rPr>
          <w:rFonts w:ascii="Arial" w:hAnsi="Arial" w:cs="Arial"/>
          <w:sz w:val="24"/>
          <w:szCs w:val="24"/>
        </w:rPr>
        <w:t xml:space="preserve">Die </w:t>
      </w:r>
      <w:r w:rsidRPr="0040066D">
        <w:rPr>
          <w:rFonts w:ascii="Arial" w:hAnsi="Arial" w:cs="Arial"/>
          <w:sz w:val="24"/>
          <w:szCs w:val="24"/>
          <w:highlight w:val="yellow"/>
        </w:rPr>
        <w:t>Stadt/Gemeinde (...)</w:t>
      </w:r>
      <w:r w:rsidRPr="0040066D">
        <w:rPr>
          <w:rFonts w:ascii="Arial" w:hAnsi="Arial" w:cs="Arial"/>
          <w:sz w:val="24"/>
          <w:szCs w:val="24"/>
        </w:rPr>
        <w:t xml:space="preserve"> kann diese Förderrichtlinie an veränderte Fördersituationen sowie jederzeit an veränderte rechtliche Grundlagen anpassen. Außerdem sind jederzeit Änderungen zur Behebung von Auslegungsproblemen sowie zur Schließung von Regelungslücken möglich. </w:t>
      </w:r>
    </w:p>
    <w:p w14:paraId="3EBAAEE0" w14:textId="77777777" w:rsidR="008207AE" w:rsidRPr="0040066D" w:rsidRDefault="008207AE" w:rsidP="008207AE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  <w:szCs w:val="24"/>
        </w:rPr>
      </w:pPr>
      <w:r w:rsidRPr="0040066D">
        <w:rPr>
          <w:rFonts w:ascii="Arial" w:hAnsi="Arial" w:cs="Arial"/>
          <w:sz w:val="24"/>
          <w:szCs w:val="24"/>
        </w:rPr>
        <w:t xml:space="preserve">Es gelten die jeweils aktuellen Förderrichtlinien. Diese werden auf den Internetseiten der </w:t>
      </w:r>
      <w:r w:rsidRPr="0040066D">
        <w:rPr>
          <w:rFonts w:ascii="Arial" w:hAnsi="Arial" w:cs="Arial"/>
          <w:sz w:val="24"/>
          <w:szCs w:val="24"/>
          <w:highlight w:val="yellow"/>
        </w:rPr>
        <w:t>Stadt/Gemeinde (...)</w:t>
      </w:r>
      <w:r w:rsidRPr="0040066D">
        <w:rPr>
          <w:rFonts w:ascii="Arial" w:hAnsi="Arial" w:cs="Arial"/>
          <w:sz w:val="24"/>
          <w:szCs w:val="24"/>
        </w:rPr>
        <w:t xml:space="preserve"> bekanntgegeben. </w:t>
      </w:r>
    </w:p>
    <w:p w14:paraId="1AD3A410" w14:textId="77777777" w:rsidR="008207AE" w:rsidRPr="0040066D" w:rsidRDefault="008207AE" w:rsidP="008207AE">
      <w:pPr>
        <w:tabs>
          <w:tab w:val="left" w:pos="3450"/>
        </w:tabs>
        <w:jc w:val="both"/>
        <w:rPr>
          <w:rFonts w:ascii="Arial" w:hAnsi="Arial" w:cs="Arial"/>
          <w:sz w:val="24"/>
          <w:szCs w:val="24"/>
        </w:rPr>
      </w:pPr>
      <w:r w:rsidRPr="0040066D">
        <w:rPr>
          <w:rFonts w:ascii="Arial" w:hAnsi="Arial" w:cs="Arial"/>
          <w:sz w:val="24"/>
          <w:szCs w:val="24"/>
        </w:rPr>
        <w:t xml:space="preserve">Die Richtlinie zur Förderung von Photovoltaik-Anlagen in der </w:t>
      </w:r>
      <w:r w:rsidRPr="0040066D">
        <w:rPr>
          <w:rFonts w:ascii="Arial" w:hAnsi="Arial" w:cs="Arial"/>
          <w:sz w:val="24"/>
          <w:szCs w:val="24"/>
          <w:highlight w:val="yellow"/>
        </w:rPr>
        <w:t>Stadt/Gemeinde (...)</w:t>
      </w:r>
      <w:r w:rsidRPr="0040066D">
        <w:rPr>
          <w:rFonts w:ascii="Arial" w:hAnsi="Arial" w:cs="Arial"/>
          <w:sz w:val="24"/>
          <w:szCs w:val="24"/>
        </w:rPr>
        <w:t xml:space="preserve"> vom </w:t>
      </w:r>
      <w:r w:rsidRPr="0040066D">
        <w:rPr>
          <w:rFonts w:ascii="Arial" w:hAnsi="Arial" w:cs="Arial"/>
          <w:sz w:val="24"/>
          <w:szCs w:val="24"/>
          <w:highlight w:val="yellow"/>
        </w:rPr>
        <w:t>xx.xx.20xx</w:t>
      </w:r>
      <w:r w:rsidRPr="0040066D">
        <w:rPr>
          <w:rFonts w:ascii="Arial" w:hAnsi="Arial" w:cs="Arial"/>
          <w:sz w:val="24"/>
          <w:szCs w:val="24"/>
        </w:rPr>
        <w:t xml:space="preserve"> wird durch diese Richtlinie ersetzt und verliert ihre Gültigkeit.</w:t>
      </w:r>
    </w:p>
    <w:p w14:paraId="320C7676" w14:textId="065CC719" w:rsidR="0035590C" w:rsidRDefault="0035590C" w:rsidP="0035590C">
      <w:pPr>
        <w:tabs>
          <w:tab w:val="left" w:pos="3450"/>
        </w:tabs>
      </w:pPr>
    </w:p>
    <w:p w14:paraId="69BCF57C" w14:textId="112277FB" w:rsidR="0035590C" w:rsidRDefault="0035590C" w:rsidP="0035590C">
      <w:pPr>
        <w:tabs>
          <w:tab w:val="left" w:pos="3450"/>
        </w:tabs>
      </w:pPr>
    </w:p>
    <w:p w14:paraId="72619B2B" w14:textId="258AA94C" w:rsidR="0035590C" w:rsidRDefault="0035590C" w:rsidP="0035590C">
      <w:pPr>
        <w:tabs>
          <w:tab w:val="left" w:pos="3450"/>
        </w:tabs>
      </w:pPr>
    </w:p>
    <w:p w14:paraId="2C21695A" w14:textId="3FB7E651" w:rsidR="00E60D17" w:rsidRPr="00634D47" w:rsidRDefault="00873AAC" w:rsidP="00634D47">
      <w:pPr>
        <w:tabs>
          <w:tab w:val="left" w:pos="3450"/>
        </w:tabs>
        <w:spacing w:after="120"/>
        <w:jc w:val="center"/>
        <w:rPr>
          <w:rFonts w:ascii="Arial" w:hAnsi="Arial" w:cs="Arial"/>
          <w:b/>
          <w:i/>
          <w:sz w:val="32"/>
          <w:szCs w:val="32"/>
          <w:u w:val="single"/>
        </w:rPr>
      </w:pPr>
      <w:r>
        <w:rPr>
          <w:rFonts w:ascii="Arial" w:hAnsi="Arial" w:cs="Arial"/>
          <w:b/>
          <w:i/>
          <w:sz w:val="32"/>
          <w:szCs w:val="32"/>
          <w:u w:val="single"/>
        </w:rPr>
        <w:t>Anhang:</w:t>
      </w:r>
    </w:p>
    <w:p w14:paraId="18D37C96" w14:textId="77777777" w:rsidR="00E60D17" w:rsidRDefault="00873AAC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Weiterführende Informationen zu </w:t>
      </w:r>
      <w:r>
        <w:rPr>
          <w:rFonts w:ascii="Arial" w:hAnsi="Arial" w:cs="Arial"/>
          <w:b/>
          <w:sz w:val="24"/>
        </w:rPr>
        <w:t>Energielabeln</w:t>
      </w:r>
      <w:r>
        <w:rPr>
          <w:rFonts w:ascii="Arial" w:hAnsi="Arial" w:cs="Arial"/>
          <w:sz w:val="24"/>
        </w:rPr>
        <w:t xml:space="preserve">: </w:t>
      </w:r>
    </w:p>
    <w:p w14:paraId="045F46A3" w14:textId="77777777" w:rsidR="00E60D17" w:rsidRDefault="00BB4B9C">
      <w:pPr>
        <w:spacing w:after="60"/>
        <w:rPr>
          <w:rFonts w:ascii="Arial" w:hAnsi="Arial" w:cs="Arial"/>
          <w:sz w:val="24"/>
        </w:rPr>
      </w:pPr>
      <w:hyperlink r:id="rId8" w:history="1">
        <w:r w:rsidR="00873AAC">
          <w:rPr>
            <w:rStyle w:val="Hyperlink"/>
            <w:rFonts w:ascii="Arial" w:hAnsi="Arial" w:cs="Arial"/>
            <w:sz w:val="24"/>
            <w:szCs w:val="24"/>
          </w:rPr>
          <w:t>https://www.verbraucherzentrale.de/aktuelle-meldungen/energie/elektrogeraete-achten-sie-auf-die-neuen-energielabels-52005</w:t>
        </w:r>
      </w:hyperlink>
    </w:p>
    <w:p w14:paraId="56257AE9" w14:textId="77777777" w:rsidR="00E60D17" w:rsidRDefault="00873AAC">
      <w:pPr>
        <w:spacing w:before="120"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Weiterführende Informationen zur </w:t>
      </w:r>
      <w:r>
        <w:rPr>
          <w:rFonts w:ascii="Arial" w:hAnsi="Arial" w:cs="Arial"/>
          <w:b/>
          <w:sz w:val="24"/>
        </w:rPr>
        <w:t>Entsorgung</w:t>
      </w:r>
      <w:r>
        <w:rPr>
          <w:rFonts w:ascii="Arial" w:hAnsi="Arial" w:cs="Arial"/>
          <w:sz w:val="24"/>
        </w:rPr>
        <w:t xml:space="preserve"> von Elektro-Geräten: </w:t>
      </w:r>
    </w:p>
    <w:p w14:paraId="76E9101D" w14:textId="77777777" w:rsidR="00E60D17" w:rsidRDefault="00BB4B9C">
      <w:pPr>
        <w:tabs>
          <w:tab w:val="left" w:pos="3450"/>
        </w:tabs>
        <w:spacing w:after="60"/>
        <w:rPr>
          <w:rFonts w:ascii="Arial" w:hAnsi="Arial" w:cs="Arial"/>
          <w:sz w:val="24"/>
        </w:rPr>
      </w:pPr>
      <w:hyperlink r:id="rId9" w:history="1">
        <w:r w:rsidR="00873AAC">
          <w:rPr>
            <w:rStyle w:val="Hyperlink"/>
            <w:rFonts w:ascii="Arial" w:hAnsi="Arial" w:cs="Arial"/>
            <w:sz w:val="24"/>
          </w:rPr>
          <w:t>https://www.verbraucherzentrale.de/wissen/umwelt-haushalt/abfall/elektroschrott-diese-geraete-und-gegenstaende-gehoeren-ins-recycling-12861</w:t>
        </w:r>
      </w:hyperlink>
      <w:r w:rsidR="00873AAC">
        <w:rPr>
          <w:rFonts w:ascii="Arial" w:hAnsi="Arial" w:cs="Arial"/>
          <w:sz w:val="24"/>
        </w:rPr>
        <w:t xml:space="preserve"> </w:t>
      </w:r>
    </w:p>
    <w:p w14:paraId="661C0FB6" w14:textId="77777777" w:rsidR="00E60D17" w:rsidRDefault="00873AAC">
      <w:pPr>
        <w:spacing w:before="120"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Weiterführende Informationen zu </w:t>
      </w:r>
      <w:r>
        <w:rPr>
          <w:rFonts w:ascii="Arial" w:hAnsi="Arial" w:cs="Arial"/>
          <w:b/>
          <w:sz w:val="24"/>
        </w:rPr>
        <w:t>Energieeinspar-Möglichkeiten</w:t>
      </w:r>
      <w:r>
        <w:rPr>
          <w:rFonts w:ascii="Arial" w:hAnsi="Arial" w:cs="Arial"/>
          <w:sz w:val="24"/>
        </w:rPr>
        <w:t>:</w:t>
      </w:r>
    </w:p>
    <w:p w14:paraId="5D93979A" w14:textId="77777777" w:rsidR="00E60D17" w:rsidRDefault="00BB4B9C">
      <w:pPr>
        <w:spacing w:after="60"/>
        <w:rPr>
          <w:rFonts w:ascii="Arial" w:hAnsi="Arial" w:cs="Arial"/>
          <w:sz w:val="24"/>
        </w:rPr>
      </w:pPr>
      <w:hyperlink r:id="rId10" w:history="1">
        <w:r w:rsidR="00873AAC">
          <w:rPr>
            <w:rStyle w:val="Hyperlink"/>
            <w:rFonts w:ascii="Arial" w:hAnsi="Arial" w:cs="Arial"/>
            <w:sz w:val="24"/>
          </w:rPr>
          <w:t>https://verbraucherzentrale-energieberatung.de/beratung/zu-hause/basis-check/</w:t>
        </w:r>
      </w:hyperlink>
      <w:r w:rsidR="00873AAC">
        <w:rPr>
          <w:rFonts w:ascii="Arial" w:hAnsi="Arial" w:cs="Arial"/>
          <w:sz w:val="24"/>
        </w:rPr>
        <w:t xml:space="preserve"> </w:t>
      </w:r>
    </w:p>
    <w:p w14:paraId="022BCAA9" w14:textId="77777777" w:rsidR="00E60D17" w:rsidRDefault="00873AAC">
      <w:pPr>
        <w:spacing w:before="120" w:after="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Weiterführende Informationen zum </w:t>
      </w:r>
      <w:r>
        <w:rPr>
          <w:rFonts w:ascii="Arial" w:hAnsi="Arial" w:cs="Arial"/>
          <w:b/>
          <w:sz w:val="24"/>
        </w:rPr>
        <w:t>Stromsparcheck</w:t>
      </w:r>
      <w:r>
        <w:rPr>
          <w:rFonts w:ascii="Arial" w:hAnsi="Arial" w:cs="Arial"/>
          <w:sz w:val="24"/>
        </w:rPr>
        <w:t xml:space="preserve"> für Haushalte mit geringem Einkommen: </w:t>
      </w:r>
      <w:hyperlink r:id="rId11" w:history="1">
        <w:r>
          <w:rPr>
            <w:rStyle w:val="Hyperlink"/>
            <w:rFonts w:ascii="Arial" w:hAnsi="Arial" w:cs="Arial"/>
            <w:sz w:val="24"/>
          </w:rPr>
          <w:t>https://www.stromspar-check.de/</w:t>
        </w:r>
      </w:hyperlink>
      <w:r>
        <w:rPr>
          <w:rFonts w:ascii="Arial" w:hAnsi="Arial" w:cs="Arial"/>
          <w:sz w:val="24"/>
        </w:rPr>
        <w:t xml:space="preserve">   </w:t>
      </w:r>
    </w:p>
    <w:p w14:paraId="650A7575" w14:textId="77777777" w:rsidR="00E60D17" w:rsidRDefault="00E60D17">
      <w:pPr>
        <w:tabs>
          <w:tab w:val="left" w:pos="3450"/>
        </w:tabs>
        <w:spacing w:after="0"/>
        <w:jc w:val="both"/>
        <w:rPr>
          <w:rFonts w:ascii="Arial" w:hAnsi="Arial" w:cs="Arial"/>
          <w:b/>
          <w:i/>
          <w:sz w:val="24"/>
        </w:rPr>
      </w:pPr>
    </w:p>
    <w:p w14:paraId="6BDD80C7" w14:textId="77777777" w:rsidR="00F40868" w:rsidRDefault="00F40868">
      <w:pPr>
        <w:tabs>
          <w:tab w:val="left" w:pos="3450"/>
        </w:tabs>
        <w:spacing w:after="0"/>
        <w:jc w:val="both"/>
        <w:rPr>
          <w:rFonts w:ascii="Arial" w:hAnsi="Arial" w:cs="Arial"/>
          <w:b/>
          <w:sz w:val="24"/>
        </w:rPr>
      </w:pPr>
    </w:p>
    <w:p w14:paraId="5D48EEF5" w14:textId="7BF11C74" w:rsidR="00E60D17" w:rsidRDefault="00873AAC">
      <w:pPr>
        <w:tabs>
          <w:tab w:val="left" w:pos="3450"/>
        </w:tabs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Hinweise zum Typenschild:</w:t>
      </w:r>
    </w:p>
    <w:p w14:paraId="52041B99" w14:textId="77777777" w:rsidR="00E60D17" w:rsidRDefault="00873AAC">
      <w:pPr>
        <w:tabs>
          <w:tab w:val="left" w:pos="3450"/>
        </w:tabs>
        <w:spacing w:before="120"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Wo sich Typenschilder in der Regel befinden:</w:t>
      </w:r>
    </w:p>
    <w:p w14:paraId="02A39A52" w14:textId="77777777" w:rsidR="00E60D17" w:rsidRDefault="00873AAC">
      <w:pPr>
        <w:pStyle w:val="Listenabsatz"/>
        <w:numPr>
          <w:ilvl w:val="0"/>
          <w:numId w:val="10"/>
        </w:numPr>
        <w:tabs>
          <w:tab w:val="left" w:pos="3450"/>
        </w:tabs>
        <w:spacing w:after="0"/>
        <w:ind w:left="714" w:hanging="35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Kühlschrank: Meistens im Inneren des Geräts links oder rechts, häufig im Bereich der Gemüse Schublade, diese bei Bedarf herausziehen. </w:t>
      </w:r>
    </w:p>
    <w:p w14:paraId="5963F82E" w14:textId="77777777" w:rsidR="00E60D17" w:rsidRDefault="00873AAC">
      <w:pPr>
        <w:pStyle w:val="Listenabsatz"/>
        <w:numPr>
          <w:ilvl w:val="0"/>
          <w:numId w:val="10"/>
        </w:numPr>
        <w:tabs>
          <w:tab w:val="left" w:pos="3450"/>
        </w:tabs>
        <w:spacing w:before="120"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Gefriertruhe:  An der Rückseite des Geräts oder innen am Deckel oder außen hinten oder rechts.</w:t>
      </w:r>
    </w:p>
    <w:p w14:paraId="6B34E5FC" w14:textId="77777777" w:rsidR="00E60D17" w:rsidRDefault="00873AAC">
      <w:pPr>
        <w:pStyle w:val="Listenabsatz"/>
        <w:numPr>
          <w:ilvl w:val="0"/>
          <w:numId w:val="10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Gefrierschrank: Meist innen im Gehäuse an der Seitenwand links oder rechts. Schubladen dazu herausziehen.</w:t>
      </w:r>
    </w:p>
    <w:p w14:paraId="6767ED41" w14:textId="77777777" w:rsidR="00E60D17" w:rsidRDefault="00873AA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 sieht ein Typenschild aus (Beispiel):</w:t>
      </w:r>
    </w:p>
    <w:p w14:paraId="1905C86F" w14:textId="77777777" w:rsidR="00E60D17" w:rsidRDefault="00873AA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FA6E" wp14:editId="712218F6">
                <wp:simplePos x="0" y="0"/>
                <wp:positionH relativeFrom="column">
                  <wp:posOffset>1690674</wp:posOffset>
                </wp:positionH>
                <wp:positionV relativeFrom="paragraph">
                  <wp:posOffset>115570</wp:posOffset>
                </wp:positionV>
                <wp:extent cx="1478915" cy="381635"/>
                <wp:effectExtent l="0" t="0" r="26035" b="1841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15" cy="3816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198660" w14:textId="77777777" w:rsidR="00E60D17" w:rsidRDefault="00873AAC">
                            <w:pP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Hersteller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E6FA6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3.1pt;margin-top:9.1pt;width:116.45pt;height:3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" fillcolor="#938953 [1614]" strokeweight=".5pt">
                <v:textbox>
                  <w:txbxContent>
                    <w:p w14:paraId="6C198660" w14:textId="77777777" w:rsidR="00E60D17" w:rsidRDefault="00873AAC">
                      <w:pP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Hersteller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de-DE"/>
        </w:rPr>
        <w:drawing>
          <wp:inline distT="0" distB="0" distL="0" distR="0" wp14:anchorId="44248EC0" wp14:editId="49853F7B">
            <wp:extent cx="4714875" cy="2909576"/>
            <wp:effectExtent l="0" t="0" r="0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ypenschild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68" t="18274" r="8559" b="14360"/>
                    <a:stretch/>
                  </pic:blipFill>
                  <pic:spPr bwMode="auto">
                    <a:xfrm rot="10800000">
                      <a:off x="0" y="0"/>
                      <a:ext cx="4716511" cy="29105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60D17">
      <w:headerReference w:type="default" r:id="rId13"/>
      <w:footerReference w:type="default" r:id="rId14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E5DB5" w14:textId="77777777" w:rsidR="00E60D17" w:rsidRDefault="00873AAC">
      <w:pPr>
        <w:spacing w:after="0" w:line="240" w:lineRule="auto"/>
      </w:pPr>
      <w:r>
        <w:separator/>
      </w:r>
    </w:p>
  </w:endnote>
  <w:endnote w:type="continuationSeparator" w:id="0">
    <w:p w14:paraId="6F467F94" w14:textId="77777777" w:rsidR="00E60D17" w:rsidRDefault="00873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2A013" w14:textId="23F6DABD" w:rsidR="00E60D17" w:rsidRDefault="00E60D17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3DCAF" w14:textId="77777777" w:rsidR="00E60D17" w:rsidRDefault="00873AAC">
      <w:pPr>
        <w:spacing w:after="0" w:line="240" w:lineRule="auto"/>
      </w:pPr>
      <w:r>
        <w:separator/>
      </w:r>
    </w:p>
  </w:footnote>
  <w:footnote w:type="continuationSeparator" w:id="0">
    <w:p w14:paraId="37860861" w14:textId="77777777" w:rsidR="00E60D17" w:rsidRDefault="00873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B0054" w14:textId="5C076D3E" w:rsidR="00E60D17" w:rsidRDefault="00E60D17">
    <w:pPr>
      <w:pStyle w:val="Kopfzeile"/>
      <w:tabs>
        <w:tab w:val="clea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F21E3"/>
    <w:multiLevelType w:val="hybridMultilevel"/>
    <w:tmpl w:val="EBE8B706"/>
    <w:lvl w:ilvl="0" w:tplc="D7C670C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257547"/>
    <w:multiLevelType w:val="hybridMultilevel"/>
    <w:tmpl w:val="F80804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F01F82"/>
    <w:multiLevelType w:val="hybridMultilevel"/>
    <w:tmpl w:val="D3501B92"/>
    <w:lvl w:ilvl="0" w:tplc="A434F7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B4A00"/>
    <w:multiLevelType w:val="hybridMultilevel"/>
    <w:tmpl w:val="5E4601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83AB0"/>
    <w:multiLevelType w:val="hybridMultilevel"/>
    <w:tmpl w:val="682852A0"/>
    <w:lvl w:ilvl="0" w:tplc="19229E8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E452A3"/>
    <w:multiLevelType w:val="hybridMultilevel"/>
    <w:tmpl w:val="8EA242A4"/>
    <w:lvl w:ilvl="0" w:tplc="04070017">
      <w:start w:val="1"/>
      <w:numFmt w:val="lowerLetter"/>
      <w:lvlText w:val="%1)"/>
      <w:lvlJc w:val="left"/>
      <w:pPr>
        <w:ind w:left="-4929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-4209" w:hanging="360"/>
      </w:pPr>
    </w:lvl>
    <w:lvl w:ilvl="2" w:tplc="0407001B" w:tentative="1">
      <w:start w:val="1"/>
      <w:numFmt w:val="lowerRoman"/>
      <w:lvlText w:val="%3."/>
      <w:lvlJc w:val="right"/>
      <w:pPr>
        <w:ind w:left="-3489" w:hanging="180"/>
      </w:pPr>
    </w:lvl>
    <w:lvl w:ilvl="3" w:tplc="0407000F" w:tentative="1">
      <w:start w:val="1"/>
      <w:numFmt w:val="decimal"/>
      <w:lvlText w:val="%4."/>
      <w:lvlJc w:val="left"/>
      <w:pPr>
        <w:ind w:left="-2769" w:hanging="360"/>
      </w:pPr>
    </w:lvl>
    <w:lvl w:ilvl="4" w:tplc="04070019" w:tentative="1">
      <w:start w:val="1"/>
      <w:numFmt w:val="lowerLetter"/>
      <w:lvlText w:val="%5."/>
      <w:lvlJc w:val="left"/>
      <w:pPr>
        <w:ind w:left="-2049" w:hanging="360"/>
      </w:pPr>
    </w:lvl>
    <w:lvl w:ilvl="5" w:tplc="0407001B" w:tentative="1">
      <w:start w:val="1"/>
      <w:numFmt w:val="lowerRoman"/>
      <w:lvlText w:val="%6."/>
      <w:lvlJc w:val="right"/>
      <w:pPr>
        <w:ind w:left="-1329" w:hanging="180"/>
      </w:pPr>
    </w:lvl>
    <w:lvl w:ilvl="6" w:tplc="0407000F" w:tentative="1">
      <w:start w:val="1"/>
      <w:numFmt w:val="decimal"/>
      <w:lvlText w:val="%7."/>
      <w:lvlJc w:val="left"/>
      <w:pPr>
        <w:ind w:left="-609" w:hanging="360"/>
      </w:pPr>
    </w:lvl>
    <w:lvl w:ilvl="7" w:tplc="04070019" w:tentative="1">
      <w:start w:val="1"/>
      <w:numFmt w:val="lowerLetter"/>
      <w:lvlText w:val="%8."/>
      <w:lvlJc w:val="left"/>
      <w:pPr>
        <w:ind w:left="111" w:hanging="360"/>
      </w:pPr>
    </w:lvl>
    <w:lvl w:ilvl="8" w:tplc="0407001B" w:tentative="1">
      <w:start w:val="1"/>
      <w:numFmt w:val="lowerRoman"/>
      <w:lvlText w:val="%9."/>
      <w:lvlJc w:val="right"/>
      <w:pPr>
        <w:ind w:left="831" w:hanging="180"/>
      </w:pPr>
    </w:lvl>
  </w:abstractNum>
  <w:abstractNum w:abstractNumId="6" w15:restartNumberingAfterBreak="0">
    <w:nsid w:val="578E2F1D"/>
    <w:multiLevelType w:val="hybridMultilevel"/>
    <w:tmpl w:val="725A4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F7078"/>
    <w:multiLevelType w:val="multilevel"/>
    <w:tmpl w:val="FE407768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91349A1"/>
    <w:multiLevelType w:val="hybridMultilevel"/>
    <w:tmpl w:val="FA02A868"/>
    <w:lvl w:ilvl="0" w:tplc="564AC8BA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5B31BBB"/>
    <w:multiLevelType w:val="hybridMultilevel"/>
    <w:tmpl w:val="76005E5E"/>
    <w:lvl w:ilvl="0" w:tplc="66F8946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57209065">
    <w:abstractNumId w:val="7"/>
  </w:num>
  <w:num w:numId="2" w16cid:durableId="1180777486">
    <w:abstractNumId w:val="5"/>
  </w:num>
  <w:num w:numId="3" w16cid:durableId="370226522">
    <w:abstractNumId w:val="2"/>
  </w:num>
  <w:num w:numId="4" w16cid:durableId="404498761">
    <w:abstractNumId w:val="4"/>
  </w:num>
  <w:num w:numId="5" w16cid:durableId="1153450080">
    <w:abstractNumId w:val="0"/>
  </w:num>
  <w:num w:numId="6" w16cid:durableId="501286759">
    <w:abstractNumId w:val="9"/>
  </w:num>
  <w:num w:numId="7" w16cid:durableId="239682975">
    <w:abstractNumId w:val="8"/>
  </w:num>
  <w:num w:numId="8" w16cid:durableId="1959413753">
    <w:abstractNumId w:val="6"/>
  </w:num>
  <w:num w:numId="9" w16cid:durableId="652762322">
    <w:abstractNumId w:val="1"/>
  </w:num>
  <w:num w:numId="10" w16cid:durableId="5077937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D17"/>
    <w:rsid w:val="000360C8"/>
    <w:rsid w:val="003201C8"/>
    <w:rsid w:val="0035590C"/>
    <w:rsid w:val="00384887"/>
    <w:rsid w:val="004249DB"/>
    <w:rsid w:val="004327FA"/>
    <w:rsid w:val="004A7B90"/>
    <w:rsid w:val="005713EE"/>
    <w:rsid w:val="00577678"/>
    <w:rsid w:val="00634D47"/>
    <w:rsid w:val="00692876"/>
    <w:rsid w:val="007466D6"/>
    <w:rsid w:val="00752390"/>
    <w:rsid w:val="008207AE"/>
    <w:rsid w:val="00873AAC"/>
    <w:rsid w:val="00A230F7"/>
    <w:rsid w:val="00B46D15"/>
    <w:rsid w:val="00B57804"/>
    <w:rsid w:val="00BB265D"/>
    <w:rsid w:val="00BB4B9C"/>
    <w:rsid w:val="00BB77B4"/>
    <w:rsid w:val="00C16045"/>
    <w:rsid w:val="00C23A61"/>
    <w:rsid w:val="00CB50A2"/>
    <w:rsid w:val="00DA13B8"/>
    <w:rsid w:val="00E60D17"/>
    <w:rsid w:val="00ED4C12"/>
    <w:rsid w:val="00ED6990"/>
    <w:rsid w:val="00F2079C"/>
    <w:rsid w:val="00F4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6015D3E"/>
  <w15:docId w15:val="{A1485729-0170-41FC-8579-27193B82E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24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rbraucherzentrale.de/aktuelle-meldungen/energie/elektrogeraete-achten-sie-auf-die-neuen-energielabels-52005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romspar-check.d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erbraucherzentrale-energieberatung.de/beratung/zu-hause/basis-check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erbraucherzentrale.de/wissen/umwelt-haushalt/abfall/elektroschrott-diese-geraete-und-gegenstaende-gehoeren-ins-recycling-1286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033AB-3A10-49A8-878E-95A41A36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926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ICMPAKR</dc:creator>
  <cp:lastModifiedBy>Rauch, Barbara</cp:lastModifiedBy>
  <cp:revision>30</cp:revision>
  <cp:lastPrinted>2019-02-05T10:51:00Z</cp:lastPrinted>
  <dcterms:created xsi:type="dcterms:W3CDTF">2022-03-30T13:48:00Z</dcterms:created>
  <dcterms:modified xsi:type="dcterms:W3CDTF">2024-04-25T10:43:00Z</dcterms:modified>
</cp:coreProperties>
</file>